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Default="005757E0" w:rsidP="009627A1">
      <w:r>
        <w:rPr>
          <w:noProof/>
        </w:rPr>
        <w:pict>
          <v:rect id="_x0000_s1082" style="position:absolute;margin-left:106.05pt;margin-top:529.1pt;width:519.6pt;height:26.15pt;z-index:251715584" stroked="f">
            <v:textbox>
              <w:txbxContent>
                <w:p w:rsidR="005757E0" w:rsidRPr="005757E0" w:rsidRDefault="005757E0" w:rsidP="005757E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Модель організації профільного навчання в </w:t>
                  </w:r>
                  <w:proofErr w:type="spellStart"/>
                  <w:r>
                    <w:rPr>
                      <w:b/>
                      <w:lang w:val="uk-UA"/>
                    </w:rPr>
                    <w:t>Новокаховському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техніко-економічному ліцеї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9" style="position:absolute;margin-left:13.45pt;margin-top:10.25pt;width:754.3pt;height:35.55pt;z-index:251681792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6E4F3E" w:rsidRPr="006E4F3E" w:rsidRDefault="006E4F3E" w:rsidP="006E4F3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Мета: </w:t>
                  </w:r>
                  <w:r>
                    <w:rPr>
                      <w:sz w:val="20"/>
                      <w:szCs w:val="20"/>
                      <w:lang w:val="uk-UA"/>
                    </w:rPr>
                    <w:t>формування особистості компетентного випускника; розвиток його індивідуальних особливостей та інтересів; підготовка нового покоління, яке спроможне розвивати соціокультурну, економічну та виробничу сфери міста</w:t>
                  </w:r>
                </w:p>
                <w:p w:rsidR="006E4F3E" w:rsidRDefault="006E4F3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E4F3E" w:rsidRPr="009F0D7F" w:rsidRDefault="006E4F3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79.5pt;margin-top:45.8pt;width:.05pt;height:21.1pt;z-index:251711488" o:connectortype="straight">
            <v:stroke endarrow="block"/>
          </v:shape>
        </w:pict>
      </w:r>
      <w:r w:rsidR="008903CA">
        <w:rPr>
          <w:noProof/>
        </w:rPr>
        <w:pict>
          <v:shape id="_x0000_s1081" type="#_x0000_t32" style="position:absolute;margin-left:563.45pt;margin-top:288.1pt;width:0;height:14.6pt;z-index:251714560" o:connectortype="straight">
            <v:stroke endarrow="block"/>
          </v:shape>
        </w:pict>
      </w:r>
      <w:r w:rsidR="008903CA">
        <w:rPr>
          <w:noProof/>
        </w:rPr>
        <w:pict>
          <v:shape id="_x0000_s1080" type="#_x0000_t32" style="position:absolute;margin-left:457.6pt;margin-top:288.1pt;width:0;height:14.6pt;z-index:251713536" o:connectortype="straight">
            <v:stroke endarrow="block"/>
          </v:shape>
        </w:pict>
      </w:r>
      <w:r w:rsidR="008903CA">
        <w:rPr>
          <w:noProof/>
        </w:rPr>
        <w:pict>
          <v:shape id="_x0000_s1079" type="#_x0000_t32" style="position:absolute;margin-left:325.6pt;margin-top:288.1pt;width:0;height:14.6pt;z-index:251712512" o:connectortype="straight">
            <v:stroke endarrow="block"/>
          </v:shape>
        </w:pict>
      </w:r>
      <w:r w:rsidR="008903CA">
        <w:rPr>
          <w:noProof/>
        </w:rPr>
        <w:pict>
          <v:shape id="_x0000_s1076" type="#_x0000_t32" style="position:absolute;margin-left:-4.95pt;margin-top:483.25pt;width:48.45pt;height:0;z-index:251709440" o:connectortype="straight">
            <v:stroke endarrow="block"/>
          </v:shape>
        </w:pict>
      </w:r>
      <w:r w:rsidR="008903CA">
        <w:rPr>
          <w:noProof/>
        </w:rPr>
        <w:pict>
          <v:roundrect id="_x0000_s1041" style="position:absolute;margin-left:43.5pt;margin-top:468.45pt;width:698.85pt;height:37.95pt;z-index:2516736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650" w:rsidRPr="00564650" w:rsidRDefault="00564650" w:rsidP="005646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Урахування особливостей навчально-виховного процесу провінційного міста: соціально-економічних, культурологічних, природних, психолого-педагогічних </w:t>
                  </w:r>
                </w:p>
              </w:txbxContent>
            </v:textbox>
          </v:roundrect>
        </w:pict>
      </w:r>
      <w:r w:rsidR="008903CA">
        <w:rPr>
          <w:noProof/>
        </w:rPr>
        <w:pict>
          <v:shape id="_x0000_s1077" type="#_x0000_t32" style="position:absolute;margin-left:742.35pt;margin-top:483.25pt;width:52.35pt;height:0;flip:x;z-index:251710464" o:connectortype="straight">
            <v:stroke endarrow="block"/>
          </v:shape>
        </w:pict>
      </w:r>
      <w:r w:rsidR="008903CA">
        <w:rPr>
          <w:noProof/>
        </w:rPr>
        <w:pict>
          <v:shape id="_x0000_s1075" type="#_x0000_t32" style="position:absolute;margin-left:776.45pt;margin-top:210.55pt;width:18.25pt;height:0;z-index:251708416" o:connectortype="straight"/>
        </w:pict>
      </w:r>
      <w:r w:rsidR="008903CA">
        <w:rPr>
          <w:noProof/>
        </w:rPr>
        <w:pict>
          <v:shape id="_x0000_s1074" type="#_x0000_t32" style="position:absolute;margin-left:-4.95pt;margin-top:210.55pt;width:14.85pt;height:0;flip:x;z-index:251707392" o:connectortype="straight"/>
        </w:pict>
      </w:r>
      <w:r w:rsidR="008903CA">
        <w:rPr>
          <w:noProof/>
        </w:rPr>
        <w:pict>
          <v:shape id="_x0000_s1073" type="#_x0000_t32" style="position:absolute;margin-left:794.7pt;margin-top:210.55pt;width:0;height:272.7pt;z-index:251706368" o:connectortype="straight"/>
        </w:pict>
      </w:r>
      <w:r w:rsidR="008903CA">
        <w:rPr>
          <w:noProof/>
        </w:rPr>
        <w:pict>
          <v:shape id="_x0000_s1072" type="#_x0000_t32" style="position:absolute;margin-left:-4.95pt;margin-top:210.55pt;width:1.1pt;height:272.7pt;z-index:251705344" o:connectortype="straight"/>
        </w:pict>
      </w:r>
      <w:r w:rsidR="008903CA">
        <w:rPr>
          <w:noProof/>
        </w:rPr>
        <w:pict>
          <v:shape id="_x0000_s1071" type="#_x0000_t32" style="position:absolute;margin-left:625.5pt;margin-top:210.55pt;width:23.05pt;height:0;z-index:251704320" o:connectortype="straight">
            <v:stroke endarrow="block"/>
          </v:shape>
        </w:pict>
      </w:r>
      <w:r w:rsidR="008903CA">
        <w:rPr>
          <w:noProof/>
        </w:rPr>
        <w:pict>
          <v:shape id="_x0000_s1070" type="#_x0000_t32" style="position:absolute;margin-left:253.95pt;margin-top:210.55pt;width:16.35pt;height:0;flip:x;z-index:251703296" o:connectortype="straight">
            <v:stroke endarrow="block"/>
          </v:shape>
        </w:pict>
      </w:r>
      <w:r w:rsidR="008903CA">
        <w:rPr>
          <w:noProof/>
        </w:rPr>
        <w:pict>
          <v:shape id="_x0000_s1069" type="#_x0000_t32" style="position:absolute;margin-left:457.55pt;margin-top:175.6pt;width:.05pt;height:17.65pt;z-index:251702272" o:connectortype="straight">
            <v:stroke endarrow="block"/>
          </v:shape>
        </w:pict>
      </w:r>
      <w:r w:rsidR="008903CA">
        <w:rPr>
          <w:noProof/>
        </w:rPr>
        <w:pict>
          <v:shape id="_x0000_s1068" type="#_x0000_t32" style="position:absolute;margin-left:719.4pt;margin-top:156.9pt;width:.05pt;height:17.65pt;z-index:251701248" o:connectortype="straight">
            <v:stroke endarrow="block"/>
          </v:shape>
        </w:pict>
      </w:r>
      <w:r w:rsidR="008903CA">
        <w:rPr>
          <w:noProof/>
        </w:rPr>
        <w:pict>
          <v:shape id="_x0000_s1067" type="#_x0000_t32" style="position:absolute;margin-left:563.4pt;margin-top:156.9pt;width:.05pt;height:17.65pt;z-index:251700224" o:connectortype="straight">
            <v:stroke endarrow="block"/>
          </v:shape>
        </w:pict>
      </w:r>
      <w:r w:rsidR="008903CA">
        <w:rPr>
          <w:noProof/>
        </w:rPr>
        <w:pict>
          <v:shape id="_x0000_s1066" type="#_x0000_t32" style="position:absolute;margin-left:379.5pt;margin-top:157.95pt;width:.05pt;height:17.65pt;z-index:251699200" o:connectortype="straight">
            <v:stroke endarrow="block"/>
          </v:shape>
        </w:pict>
      </w:r>
      <w:r w:rsidR="008903CA">
        <w:rPr>
          <w:noProof/>
        </w:rPr>
        <w:pict>
          <v:shape id="_x0000_s1065" type="#_x0000_t32" style="position:absolute;margin-left:379.5pt;margin-top:174.55pt;width:339.95pt;height:1.05pt;z-index:251698176" o:connectortype="straight"/>
        </w:pict>
      </w:r>
      <w:r w:rsidR="008903CA">
        <w:rPr>
          <w:noProof/>
        </w:rPr>
        <w:pict>
          <v:shape id="_x0000_s1064" type="#_x0000_t32" style="position:absolute;margin-left:742.35pt;margin-top:228.25pt;width:0;height:34.45pt;z-index:251697152" o:connectortype="straight">
            <v:stroke endarrow="block"/>
          </v:shape>
        </w:pict>
      </w:r>
      <w:r w:rsidR="008903CA">
        <w:rPr>
          <w:noProof/>
        </w:rPr>
        <w:pict>
          <v:shape id="_x0000_s1063" type="#_x0000_t32" style="position:absolute;margin-left:675.8pt;margin-top:230.05pt;width:0;height:34.45pt;z-index:251696128" o:connectortype="straight">
            <v:stroke endarrow="block"/>
          </v:shape>
        </w:pict>
      </w:r>
      <w:r w:rsidR="008903CA">
        <w:rPr>
          <w:noProof/>
        </w:rPr>
        <w:pict>
          <v:shape id="_x0000_s1062" type="#_x0000_t32" style="position:absolute;margin-left:563.45pt;margin-top:230.05pt;width:0;height:21.6pt;z-index:251695104" o:connectortype="straight">
            <v:stroke endarrow="block"/>
          </v:shape>
        </w:pict>
      </w:r>
      <w:r w:rsidR="008903CA">
        <w:rPr>
          <w:noProof/>
        </w:rPr>
        <w:pict>
          <v:shape id="_x0000_s1061" type="#_x0000_t32" style="position:absolute;margin-left:457.6pt;margin-top:230.05pt;width:0;height:21.6pt;z-index:251694080" o:connectortype="straight">
            <v:stroke endarrow="block"/>
          </v:shape>
        </w:pict>
      </w:r>
      <w:r w:rsidR="008903CA">
        <w:rPr>
          <w:noProof/>
        </w:rPr>
        <w:pict>
          <v:shape id="_x0000_s1060" type="#_x0000_t32" style="position:absolute;margin-left:325.6pt;margin-top:230.05pt;width:0;height:21.6pt;z-index:251693056" o:connectortype="straight">
            <v:stroke endarrow="block"/>
          </v:shape>
        </w:pict>
      </w:r>
      <w:r w:rsidR="008903CA">
        <w:rPr>
          <w:noProof/>
        </w:rPr>
        <w:pict>
          <v:shape id="_x0000_s1059" type="#_x0000_t32" style="position:absolute;margin-left:220.9pt;margin-top:230.05pt;width:0;height:21.6pt;z-index:251692032" o:connectortype="straight">
            <v:stroke endarrow="block"/>
          </v:shape>
        </w:pict>
      </w:r>
      <w:r w:rsidR="008903CA">
        <w:rPr>
          <w:noProof/>
        </w:rPr>
        <w:pict>
          <v:shape id="_x0000_s1058" type="#_x0000_t32" style="position:absolute;margin-left:171.8pt;margin-top:230.05pt;width:0;height:21.6pt;z-index:251691008" o:connectortype="straight">
            <v:stroke endarrow="block"/>
          </v:shape>
        </w:pict>
      </w:r>
      <w:r w:rsidR="008903CA">
        <w:rPr>
          <w:noProof/>
        </w:rPr>
        <w:pict>
          <v:shape id="_x0000_s1057" type="#_x0000_t32" style="position:absolute;margin-left:122.7pt;margin-top:230.05pt;width:0;height:21.6pt;z-index:251689984" o:connectortype="straight">
            <v:stroke endarrow="block"/>
          </v:shape>
        </w:pict>
      </w:r>
      <w:r w:rsidR="008903CA">
        <w:rPr>
          <w:noProof/>
        </w:rPr>
        <w:pict>
          <v:shape id="_x0000_s1056" type="#_x0000_t32" style="position:absolute;margin-left:73.6pt;margin-top:230.05pt;width:0;height:21.6pt;z-index:251688960" o:connectortype="straight">
            <v:stroke endarrow="block"/>
          </v:shape>
        </w:pict>
      </w:r>
      <w:r w:rsidR="003D350D">
        <w:rPr>
          <w:noProof/>
        </w:rPr>
        <w:pict>
          <v:shape id="_x0000_s1055" type="#_x0000_t32" style="position:absolute;margin-left:28.9pt;margin-top:230.05pt;width:0;height:21.6pt;z-index:251687936" o:connectortype="straight">
            <v:stroke endarrow="block"/>
          </v:shape>
        </w:pict>
      </w:r>
      <w:r w:rsidR="003D350D">
        <w:rPr>
          <w:noProof/>
        </w:rPr>
        <w:pict>
          <v:shape id="_x0000_s1054" type="#_x0000_t32" style="position:absolute;margin-left:713.95pt;margin-top:91.6pt;width:0;height:17.15pt;z-index:251686912" o:connectortype="straight">
            <v:stroke endarrow="block"/>
          </v:shape>
        </w:pict>
      </w:r>
      <w:r w:rsidR="003D350D">
        <w:rPr>
          <w:noProof/>
        </w:rPr>
        <w:pict>
          <v:shape id="_x0000_s1053" type="#_x0000_t32" style="position:absolute;margin-left:553.6pt;margin-top:91.6pt;width:0;height:17.15pt;z-index:251685888" o:connectortype="straight">
            <v:stroke endarrow="block"/>
          </v:shape>
        </w:pict>
      </w:r>
      <w:r w:rsidR="003D350D">
        <w:rPr>
          <w:noProof/>
        </w:rPr>
        <w:pict>
          <v:shape id="_x0000_s1052" type="#_x0000_t32" style="position:absolute;margin-left:379.5pt;margin-top:91.6pt;width:0;height:17.15pt;z-index:251684864" o:connectortype="straight">
            <v:stroke endarrow="block"/>
          </v:shape>
        </w:pict>
      </w:r>
      <w:r w:rsidR="003D350D">
        <w:rPr>
          <w:noProof/>
        </w:rPr>
        <w:pict>
          <v:shape id="_x0000_s1051" type="#_x0000_t32" style="position:absolute;margin-left:296.8pt;margin-top:81.8pt;width:37.1pt;height:0;z-index:251683840" o:connectortype="straight">
            <v:stroke endarrow="block"/>
          </v:shape>
        </w:pict>
      </w:r>
      <w:r w:rsidR="003D350D">
        <w:rPr>
          <w:noProof/>
        </w:rPr>
        <w:pict>
          <v:shape id="_x0000_s1050" type="#_x0000_t32" style="position:absolute;margin-left:149.15pt;margin-top:114.55pt;width:11.95pt;height:0;z-index:251682816" o:connectortype="straight">
            <v:stroke endarrow="block"/>
          </v:shape>
        </w:pict>
      </w:r>
      <w:r w:rsidR="006E4F3E">
        <w:rPr>
          <w:noProof/>
        </w:rPr>
        <w:pict>
          <v:roundrect id="_x0000_s1030" style="position:absolute;margin-left:511pt;margin-top:108.75pt;width:102pt;height:49.2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F0D7F" w:rsidRDefault="009F0D7F" w:rsidP="009F0D7F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Біолого-</w:t>
                  </w:r>
                  <w:proofErr w:type="spellEnd"/>
                </w:p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хімічний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1" style="position:absolute;margin-left:665.75pt;margin-top:108.75pt;width:102pt;height:49.2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F0D7F" w:rsidRPr="009F0D7F" w:rsidRDefault="009F0D7F" w:rsidP="009F0D7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Історичний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28" style="position:absolute;margin-left:333.9pt;margin-top:66.9pt;width:433.85pt;height:24.7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 w:rsidRPr="009F0D7F">
                    <w:rPr>
                      <w:lang w:val="uk-UA"/>
                    </w:rPr>
                    <w:t>Старша школа.  Профілі навчання</w:t>
                  </w:r>
                </w:p>
                <w:p w:rsidR="009F0D7F" w:rsidRDefault="009F0D7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F0D7F" w:rsidRPr="009F0D7F" w:rsidRDefault="009F0D7F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 w:rsidR="006E4F3E">
        <w:rPr>
          <w:noProof/>
        </w:rPr>
        <w:pict>
          <v:roundrect id="_x0000_s1029" style="position:absolute;margin-left:333.9pt;margin-top:108.75pt;width:102pt;height:49.2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Фізико-математичний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2" style="position:absolute;margin-left:655.9pt;margin-top:264.5pt;width:43.05pt;height:173.7pt;z-index:251674624" arcsize="10923f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100421" w:rsidRPr="00100421" w:rsidRDefault="00100421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Корекція змісту і технології навчання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3" style="position:absolute;margin-left:727.5pt;margin-top:262.7pt;width:40.25pt;height:175.5pt;z-index:251675648" arcsize="10923f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100421" w:rsidRPr="00100421" w:rsidRDefault="00100421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Оцінка результативності профільного навчання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3" style="position:absolute;margin-left:648.55pt;margin-top:192.4pt;width:127.9pt;height:37.65pt;z-index:251665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F0D7F" w:rsidRDefault="009F0D7F" w:rsidP="006E4F3E">
                  <w:pPr>
                    <w:ind w:right="-7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Оцінно-результативний</w:t>
                  </w:r>
                </w:p>
                <w:p w:rsidR="009F0D7F" w:rsidRPr="009F0D7F" w:rsidRDefault="009F0D7F" w:rsidP="006E4F3E">
                  <w:pPr>
                    <w:ind w:right="-7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компонент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2" style="position:absolute;margin-left:270.3pt;margin-top:192.4pt;width:355.2pt;height:37.65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F0D7F" w:rsidRPr="009F0D7F" w:rsidRDefault="009F0D7F" w:rsidP="009F0D7F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Змістовий компонент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7" style="position:absolute;margin-left:523.5pt;margin-top:251.65pt;width:102pt;height:36.45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1938B6" w:rsidRPr="001938B6" w:rsidRDefault="001938B6" w:rsidP="001938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Позаурочна робота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6" style="position:absolute;margin-left:399.8pt;margin-top:251.65pt;width:111.2pt;height:36.45pt;z-index:2516684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1938B6" w:rsidRPr="001938B6" w:rsidRDefault="001938B6" w:rsidP="001938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Варіативна складова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5" style="position:absolute;margin-left:270.3pt;margin-top:251.65pt;width:109.2pt;height:36.4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938B6" w:rsidRPr="001938B6" w:rsidRDefault="001938B6" w:rsidP="001938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Інваріантна складова</w:t>
                  </w:r>
                </w:p>
                <w:p w:rsidR="001938B6" w:rsidRDefault="001938B6"/>
              </w:txbxContent>
            </v:textbox>
          </v:roundrect>
        </w:pict>
      </w:r>
      <w:r w:rsidR="006E4F3E">
        <w:rPr>
          <w:noProof/>
        </w:rPr>
        <w:pict>
          <v:roundrect id="_x0000_s1040" style="position:absolute;margin-left:523.5pt;margin-top:302.7pt;width:102pt;height:135.5pt;z-index:251672576" arcsize="10923f" fillcolor="white [3201]" strokecolor="#c0504d [3205]" strokeweight="5pt">
            <v:stroke linestyle="thickThin"/>
            <v:shadow color="#868686"/>
            <v:textbox style="mso-next-textbox:#_x0000_s1040">
              <w:txbxContent>
                <w:p w:rsidR="00100421" w:rsidRPr="00100421" w:rsidRDefault="00100421" w:rsidP="00100421">
                  <w:pPr>
                    <w:ind w:left="-142" w:right="-184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Формування здатності й готовності учня до усвідомлення своїх можливостей і потреб, ознайомлення з ринком праці, вищими навчальними закладами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9" style="position:absolute;margin-left:399.8pt;margin-top:302.7pt;width:111.2pt;height:135.5pt;z-index:251671552" arcsize="10923f" fillcolor="white [3201]" strokecolor="#c0504d [3205]" strokeweight="5pt">
            <v:stroke linestyle="thickThin"/>
            <v:shadow color="#868686"/>
            <v:textbox style="mso-next-textbox:#_x0000_s1039">
              <w:txbxContent>
                <w:p w:rsidR="001938B6" w:rsidRPr="001938B6" w:rsidRDefault="001938B6" w:rsidP="00100421">
                  <w:pPr>
                    <w:ind w:left="-142" w:right="-253"/>
                    <w:rPr>
                      <w:sz w:val="20"/>
                      <w:szCs w:val="20"/>
                      <w:lang w:val="uk-UA"/>
                    </w:rPr>
                  </w:pPr>
                  <w:r w:rsidRPr="001938B6">
                    <w:rPr>
                      <w:sz w:val="20"/>
                      <w:szCs w:val="20"/>
                      <w:lang w:val="uk-UA"/>
                    </w:rPr>
                    <w:t xml:space="preserve">Формування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професійного </w:t>
                  </w:r>
                  <w:r w:rsidRPr="001938B6">
                    <w:rPr>
                      <w:sz w:val="20"/>
                      <w:szCs w:val="20"/>
                      <w:lang w:val="uk-UA"/>
                    </w:rPr>
                    <w:t>самовизначення</w:t>
                  </w:r>
                  <w:r>
                    <w:rPr>
                      <w:sz w:val="20"/>
                      <w:szCs w:val="20"/>
                      <w:lang w:val="uk-UA"/>
                    </w:rPr>
                    <w:t>, забезпечення професійних запитів, формування системи уявлень, ціннісних орієнтацій, творчих, дослідницьких умінь і навичок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8" style="position:absolute;margin-left:270.3pt;margin-top:302.7pt;width:109.2pt;height:135.5pt;z-index:251670528" arcsize="10923f" fillcolor="white [3201]" strokecolor="#c0504d [3205]" strokeweight="5pt">
            <v:stroke linestyle="thickThin"/>
            <v:shadow color="#868686"/>
            <v:textbox>
              <w:txbxContent>
                <w:p w:rsidR="001938B6" w:rsidRDefault="001938B6" w:rsidP="00100421">
                  <w:pPr>
                    <w:ind w:left="-142" w:right="-144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Реалізація державних стандартів, змісту профільних дисциплін, створення умов для розвитку нахилів і здібностей, задоволення освітніх потреб</w:t>
                  </w:r>
                </w:p>
                <w:p w:rsidR="001938B6" w:rsidRPr="001938B6" w:rsidRDefault="001938B6" w:rsidP="00100421">
                  <w:pPr>
                    <w:ind w:left="-142" w:right="-144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 w:rsidR="006E4F3E" w:rsidRPr="00CB2AA2">
        <w:rPr>
          <w:noProof/>
          <w:sz w:val="20"/>
          <w:szCs w:val="20"/>
        </w:rPr>
        <w:pict>
          <v:roundrect id="_x0000_s1027" style="position:absolute;margin-left:161.1pt;margin-top:66.9pt;width:135.7pt;height:97.2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F0D7F" w:rsidRPr="009F0D7F" w:rsidRDefault="00CB2AA2" w:rsidP="009F0D7F">
                  <w:pPr>
                    <w:ind w:left="-142" w:right="-134"/>
                    <w:jc w:val="center"/>
                    <w:rPr>
                      <w:rFonts w:cs="Times New Roman"/>
                      <w:lang w:val="uk-UA"/>
                    </w:rPr>
                  </w:pPr>
                  <w:r w:rsidRPr="009F0D7F">
                    <w:t xml:space="preserve">8, 9 </w:t>
                  </w:r>
                  <w:r w:rsidRPr="009F0D7F">
                    <w:rPr>
                      <w:lang w:val="uk-UA"/>
                    </w:rPr>
                    <w:t>класи</w:t>
                  </w:r>
                </w:p>
                <w:p w:rsidR="00CB2AA2" w:rsidRPr="009F0D7F" w:rsidRDefault="009F0D7F" w:rsidP="00CB2AA2">
                  <w:pPr>
                    <w:ind w:left="-142" w:right="-134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uk-UA"/>
                    </w:rPr>
                    <w:t xml:space="preserve">Активна допрофільна підготовка, </w:t>
                  </w:r>
                  <w:r w:rsidRPr="009F0D7F">
                    <w:rPr>
                      <w:rFonts w:cs="Times New Roman"/>
                      <w:sz w:val="20"/>
                      <w:szCs w:val="20"/>
                      <w:lang w:val="uk-UA"/>
                    </w:rPr>
                    <w:t>професійна орієнтація учнів у виборі ними напрямку</w:t>
                  </w:r>
                  <w:r w:rsidRPr="007A29D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9F0D7F">
                    <w:rPr>
                      <w:rFonts w:cs="Times New Roman"/>
                      <w:sz w:val="20"/>
                      <w:szCs w:val="20"/>
                      <w:lang w:val="uk-UA"/>
                    </w:rPr>
                    <w:t>профільного навчання у</w:t>
                  </w:r>
                  <w:r w:rsidRPr="007A29D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9F0D7F">
                    <w:rPr>
                      <w:rFonts w:cs="Times New Roman"/>
                      <w:sz w:val="20"/>
                      <w:szCs w:val="20"/>
                      <w:lang w:val="uk-UA"/>
                    </w:rPr>
                    <w:t>старшій школ</w:t>
                  </w:r>
                  <w:r>
                    <w:rPr>
                      <w:sz w:val="20"/>
                      <w:szCs w:val="20"/>
                      <w:lang w:val="uk-UA"/>
                    </w:rPr>
                    <w:t>і</w:t>
                  </w:r>
                </w:p>
                <w:p w:rsidR="00CB2AA2" w:rsidRPr="00CB2AA2" w:rsidRDefault="00CB2AA2" w:rsidP="00CB2AA2">
                  <w:pPr>
                    <w:ind w:left="-142" w:right="-134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 w:rsidR="006E4F3E">
        <w:rPr>
          <w:noProof/>
        </w:rPr>
        <w:pict>
          <v:roundrect id="_x0000_s1026" style="position:absolute;margin-left:13.45pt;margin-top:66.9pt;width:135.7pt;height:100.8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627A1" w:rsidRPr="009F0D7F" w:rsidRDefault="00CB2AA2" w:rsidP="00CB2AA2">
                  <w:pPr>
                    <w:ind w:left="-142" w:right="-176"/>
                    <w:rPr>
                      <w:lang w:val="uk-UA"/>
                    </w:rPr>
                  </w:pPr>
                  <w:r w:rsidRPr="009F0D7F">
                    <w:rPr>
                      <w:lang w:val="uk-UA"/>
                    </w:rPr>
                    <w:t>Факультатив «Абітурієнт»</w:t>
                  </w:r>
                </w:p>
                <w:p w:rsidR="00CB2AA2" w:rsidRDefault="00CB2AA2" w:rsidP="00CB2AA2">
                  <w:pPr>
                    <w:ind w:left="-142" w:right="-176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для учнів 7 класів шкіл міста</w:t>
                  </w:r>
                </w:p>
                <w:p w:rsidR="00CB2AA2" w:rsidRPr="00CB2AA2" w:rsidRDefault="00CB2AA2" w:rsidP="00CB2AA2">
                  <w:pPr>
                    <w:ind w:left="-142" w:right="-176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uk-UA"/>
                    </w:rPr>
                    <w:t>В</w:t>
                  </w:r>
                  <w:r w:rsidRPr="00CB2AA2">
                    <w:rPr>
                      <w:rFonts w:cs="Times New Roman"/>
                      <w:sz w:val="20"/>
                      <w:szCs w:val="20"/>
                      <w:lang w:val="uk-UA"/>
                    </w:rPr>
                    <w:t>ивчення рівня освітньої підготовки,</w:t>
                  </w:r>
                  <w:r>
                    <w:rPr>
                      <w:rFonts w:cs="Times New Roman"/>
                      <w:sz w:val="20"/>
                      <w:szCs w:val="20"/>
                      <w:lang w:val="uk-UA"/>
                    </w:rPr>
                    <w:t xml:space="preserve"> інтересів, потреб,  розвиток нахилів, здібностей, початок до профільної підготовки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34" style="position:absolute;margin-left:9.9pt;margin-top:192.4pt;width:244.05pt;height:37.65pt;z-index:251666432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9F0D7F" w:rsidRPr="009F0D7F" w:rsidRDefault="009F0D7F" w:rsidP="009F0D7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Організаційно-</w:t>
                  </w:r>
                  <w:r w:rsidR="00100421">
                    <w:rPr>
                      <w:lang w:val="uk-UA"/>
                    </w:rPr>
                    <w:t>процесуальний</w:t>
                  </w:r>
                  <w:r>
                    <w:rPr>
                      <w:lang w:val="uk-UA"/>
                    </w:rPr>
                    <w:t xml:space="preserve"> </w:t>
                  </w:r>
                  <w:r w:rsidR="00100421">
                    <w:rPr>
                      <w:lang w:val="uk-UA"/>
                    </w:rPr>
                    <w:t>(технологічний)</w:t>
                  </w:r>
                  <w:r w:rsidR="00564650" w:rsidRPr="00564650">
                    <w:rPr>
                      <w:lang w:val="uk-UA"/>
                    </w:rPr>
                    <w:t xml:space="preserve"> </w:t>
                  </w:r>
                  <w:r w:rsidR="00564650">
                    <w:rPr>
                      <w:lang w:val="uk-UA"/>
                    </w:rPr>
                    <w:t>компонент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7" style="position:absolute;margin-left:155.55pt;margin-top:251.65pt;width:37.75pt;height:186.55pt;z-index:251679744" arcsize="10923f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564650" w:rsidRPr="00564650" w:rsidRDefault="0056465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Організація індик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ід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та групової роботи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8" style="position:absolute;margin-left:204.6pt;margin-top:251.65pt;width:37.75pt;height:186.55pt;z-index:251680768" arcsize="10923f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564650" w:rsidRPr="00564650" w:rsidRDefault="0056465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Моніторинг якості та комфортності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5" style="position:absolute;margin-left:105.9pt;margin-top:251.65pt;width:37.75pt;height:186.55pt;z-index:251677696" arcsize="10923f" fillcolor="white [3201]" strokecolor="#c0504d [3205]" strokeweight="5pt">
            <v:stroke linestyle="thickThin"/>
            <v:shadow color="#868686"/>
            <v:textbox style="layout-flow:vertical;mso-layout-flow-alt:bottom-to-top">
              <w:txbxContent>
                <w:p w:rsidR="00564650" w:rsidRPr="00564650" w:rsidRDefault="0056465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Єдність методів і форм навчання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6" style="position:absolute;margin-left:57.25pt;margin-top:251.65pt;width:35.6pt;height:186.55pt;z-index:251678720" arcsize="10923f" fillcolor="white [3201]" strokecolor="#c0504d [3205]" strokeweight="5pt">
            <v:stroke linestyle="thickThin"/>
            <v:shadow color="#868686"/>
            <v:textbox style="layout-flow:vertical;mso-layout-flow-alt:bottom-to-top;mso-next-textbox:#_x0000_s1046">
              <w:txbxContent>
                <w:p w:rsidR="00564650" w:rsidRPr="00564650" w:rsidRDefault="0056465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Врахування нахилів, задатків, здібностей</w:t>
                  </w:r>
                </w:p>
              </w:txbxContent>
            </v:textbox>
          </v:roundrect>
        </w:pict>
      </w:r>
      <w:r w:rsidR="006E4F3E">
        <w:rPr>
          <w:noProof/>
        </w:rPr>
        <w:pict>
          <v:roundrect id="_x0000_s1044" style="position:absolute;margin-left:13.45pt;margin-top:251.65pt;width:35.6pt;height:186.55pt;z-index:251676672" arcsize="10923f" fillcolor="white [3201]" strokecolor="#c0504d [3205]" strokeweight="5pt">
            <v:stroke linestyle="thickThin"/>
            <v:shadow color="#868686"/>
            <v:textbox style="layout-flow:vertical;mso-layout-flow-alt:bottom-to-top;mso-next-textbox:#_x0000_s1044">
              <w:txbxContent>
                <w:p w:rsidR="00100421" w:rsidRPr="00564650" w:rsidRDefault="0056465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64650">
                    <w:rPr>
                      <w:sz w:val="20"/>
                      <w:szCs w:val="20"/>
                      <w:lang w:val="uk-UA"/>
                    </w:rPr>
                    <w:t>Діагностика можливостей, виявлення потенціалу</w:t>
                  </w:r>
                </w:p>
              </w:txbxContent>
            </v:textbox>
          </v:roundrect>
        </w:pict>
      </w:r>
    </w:p>
    <w:sectPr w:rsidR="002C529E" w:rsidSect="009627A1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7A1"/>
    <w:rsid w:val="00100421"/>
    <w:rsid w:val="001938B6"/>
    <w:rsid w:val="002C529E"/>
    <w:rsid w:val="003D350D"/>
    <w:rsid w:val="00564650"/>
    <w:rsid w:val="005757E0"/>
    <w:rsid w:val="006E4F3E"/>
    <w:rsid w:val="008069A6"/>
    <w:rsid w:val="008903CA"/>
    <w:rsid w:val="009627A1"/>
    <w:rsid w:val="009F0D7F"/>
    <w:rsid w:val="00B4473F"/>
    <w:rsid w:val="00C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7" type="connector" idref="#_x0000_s1053"/>
        <o:r id="V:Rule8" type="connector" idref="#_x0000_s1054"/>
        <o:r id="V:Rule10" type="connector" idref="#_x0000_s1055"/>
        <o:r id="V:Rule11" type="connector" idref="#_x0000_s1056"/>
        <o:r id="V:Rule12" type="connector" idref="#_x0000_s1057"/>
        <o:r id="V:Rule13" type="connector" idref="#_x0000_s1058"/>
        <o:r id="V:Rule14" type="connector" idref="#_x0000_s1059"/>
        <o:r id="V:Rule15" type="connector" idref="#_x0000_s1060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1" type="connector" idref="#_x0000_s1065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8" type="connector" idref="#_x0000_s1070"/>
        <o:r id="V:Rule30" type="connector" idref="#_x0000_s1071"/>
        <o:r id="V:Rule32" type="connector" idref="#_x0000_s1072"/>
        <o:r id="V:Rule34" type="connector" idref="#_x0000_s1073"/>
        <o:r id="V:Rule36" type="connector" idref="#_x0000_s1074"/>
        <o:r id="V:Rule38" type="connector" idref="#_x0000_s1075"/>
        <o:r id="V:Rule40" type="connector" idref="#_x0000_s1076"/>
        <o:r id="V:Rule42" type="connector" idref="#_x0000_s1077"/>
        <o:r id="V:Rule44" type="connector" idref="#_x0000_s1078"/>
        <o:r id="V:Rule46" type="connector" idref="#_x0000_s1079"/>
        <o:r id="V:Rule47" type="connector" idref="#_x0000_s1080"/>
        <o:r id="V:Rule4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2013-11-27T17:46:00Z</dcterms:created>
  <dcterms:modified xsi:type="dcterms:W3CDTF">2013-11-27T19:16:00Z</dcterms:modified>
</cp:coreProperties>
</file>